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6C49A8" w:rsidRPr="0079603B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9A8" w:rsidRPr="00F66E64" w:rsidRDefault="00B51979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B51979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6C49A8" w:rsidRPr="00F66E64" w:rsidRDefault="006C49A8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9A8" w:rsidRPr="009D3561" w:rsidRDefault="006C49A8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6C49A8" w:rsidRPr="009D3561" w:rsidRDefault="006C49A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6C49A8" w:rsidRPr="009D3561" w:rsidRDefault="006C49A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6C49A8" w:rsidRPr="009D3561" w:rsidRDefault="006C49A8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6C49A8" w:rsidRPr="009D3561" w:rsidRDefault="006C49A8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6C49A8" w:rsidRPr="00A52568" w:rsidRDefault="006C49A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Pr="00A52568" w:rsidRDefault="006C49A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Pr="009D3561" w:rsidRDefault="006C49A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79603B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79603B">
        <w:rPr>
          <w:rFonts w:ascii="Times New Roman" w:hAnsi="Times New Roman"/>
          <w:i w:val="0"/>
          <w:sz w:val="24"/>
          <w:szCs w:val="24"/>
          <w:lang w:val="ru-RU"/>
        </w:rPr>
        <w:t>58</w:t>
      </w:r>
    </w:p>
    <w:p w:rsidR="006C49A8" w:rsidRPr="009D3561" w:rsidRDefault="006C49A8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E5729F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 xml:space="preserve">Об утверждении Порядка предоставления 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>межбюджетных трансфертов из бюджета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lang w:val="ru-RU"/>
        </w:rPr>
        <w:t>Павловское</w:t>
      </w:r>
      <w:proofErr w:type="gramEnd"/>
      <w:r w:rsidRPr="00D1743F">
        <w:rPr>
          <w:rFonts w:ascii="Times New Roman" w:hAnsi="Times New Roman"/>
          <w:sz w:val="24"/>
          <w:lang w:val="ru-RU"/>
        </w:rPr>
        <w:t xml:space="preserve"> в бюджет 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 xml:space="preserve">муниципального образования Суздальский  район 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 xml:space="preserve">на финансовое обеспечение </w:t>
      </w:r>
      <w:proofErr w:type="gramStart"/>
      <w:r w:rsidRPr="00D1743F">
        <w:rPr>
          <w:rFonts w:ascii="Times New Roman" w:hAnsi="Times New Roman"/>
          <w:sz w:val="24"/>
          <w:lang w:val="ru-RU"/>
        </w:rPr>
        <w:t>отдельных</w:t>
      </w:r>
      <w:proofErr w:type="gramEnd"/>
      <w:r w:rsidRPr="00D1743F">
        <w:rPr>
          <w:rFonts w:ascii="Times New Roman" w:hAnsi="Times New Roman"/>
          <w:sz w:val="24"/>
          <w:lang w:val="ru-RU"/>
        </w:rPr>
        <w:t xml:space="preserve"> переданных 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  <w:r w:rsidRPr="00D1743F">
        <w:rPr>
          <w:rFonts w:ascii="Times New Roman" w:hAnsi="Times New Roman"/>
          <w:sz w:val="24"/>
          <w:lang w:val="ru-RU"/>
        </w:rPr>
        <w:t>полномочий по решению вопросов местного значения</w:t>
      </w: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</w:p>
    <w:p w:rsidR="006C49A8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</w:p>
    <w:p w:rsidR="006C49A8" w:rsidRPr="00D1743F" w:rsidRDefault="006C49A8" w:rsidP="00E5729F">
      <w:pPr>
        <w:pStyle w:val="a3"/>
        <w:rPr>
          <w:rFonts w:ascii="Times New Roman" w:hAnsi="Times New Roman"/>
          <w:sz w:val="24"/>
          <w:lang w:val="ru-RU"/>
        </w:rPr>
      </w:pPr>
    </w:p>
    <w:p w:rsidR="006C49A8" w:rsidRPr="00E5729F" w:rsidRDefault="006C49A8" w:rsidP="00E5729F">
      <w:pPr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статьей </w:t>
      </w:r>
      <w:r>
        <w:rPr>
          <w:rFonts w:ascii="Times New Roman" w:hAnsi="Times New Roman"/>
          <w:i w:val="0"/>
          <w:sz w:val="24"/>
          <w:szCs w:val="24"/>
          <w:lang w:val="ru-RU"/>
        </w:rPr>
        <w:t>142.5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Федерации, руководствуясь Уставом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E5729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6C49A8" w:rsidRPr="00E5729F" w:rsidRDefault="006C49A8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</w:t>
      </w:r>
      <w:proofErr w:type="gramStart"/>
      <w:r w:rsidRPr="00C7363A"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Порядок предоставления иных межбюджетных трансфертов из бюджета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C7363A">
        <w:rPr>
          <w:rFonts w:ascii="Times New Roman" w:hAnsi="Times New Roman"/>
          <w:i w:val="0"/>
          <w:sz w:val="24"/>
          <w:szCs w:val="24"/>
          <w:lang w:val="ru-RU"/>
        </w:rPr>
        <w:t xml:space="preserve"> в бюджет  муниципального образования Суздальский  район на финансовое обеспечение переданных полномочий по ре</w:t>
      </w:r>
      <w:r>
        <w:rPr>
          <w:rFonts w:ascii="Times New Roman" w:hAnsi="Times New Roman"/>
          <w:i w:val="0"/>
          <w:sz w:val="24"/>
          <w:szCs w:val="24"/>
          <w:lang w:val="ru-RU"/>
        </w:rPr>
        <w:t>шению вопросов местного значени</w:t>
      </w:r>
      <w:r w:rsidRPr="00C7363A">
        <w:rPr>
          <w:rFonts w:ascii="Times New Roman" w:hAnsi="Times New Roman"/>
          <w:i w:val="0"/>
          <w:sz w:val="24"/>
          <w:szCs w:val="24"/>
          <w:lang w:val="ru-RU"/>
        </w:rPr>
        <w:t xml:space="preserve">я 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согласно Приложени</w:t>
      </w:r>
      <w:r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</w:p>
    <w:p w:rsidR="006C49A8" w:rsidRPr="00E5729F" w:rsidRDefault="006C49A8" w:rsidP="00E5729F">
      <w:pPr>
        <w:pStyle w:val="a7"/>
        <w:spacing w:before="0" w:beforeAutospacing="0" w:after="0" w:afterAutospacing="0" w:line="20" w:lineRule="atLeast"/>
        <w:ind w:firstLine="600"/>
        <w:jc w:val="both"/>
      </w:pPr>
      <w:r w:rsidRPr="00E5729F">
        <w:t>2.</w:t>
      </w:r>
      <w:r>
        <w:t xml:space="preserve"> </w:t>
      </w:r>
      <w:r w:rsidRPr="00E5729F">
        <w:t xml:space="preserve">Настоящее </w:t>
      </w:r>
      <w:r>
        <w:t>постановление</w:t>
      </w:r>
      <w:r w:rsidRPr="00E5729F">
        <w:t xml:space="preserve">  разместить на  официальном сайте администрации муниципального образования </w:t>
      </w:r>
      <w:r>
        <w:t>Павловское</w:t>
      </w:r>
      <w:r w:rsidRPr="00E5729F">
        <w:t>.</w:t>
      </w:r>
    </w:p>
    <w:p w:rsidR="006C49A8" w:rsidRPr="00E5729F" w:rsidRDefault="006C49A8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E5729F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C49A8" w:rsidRPr="00E5729F" w:rsidRDefault="006C49A8" w:rsidP="00E5729F">
      <w:pPr>
        <w:pStyle w:val="a7"/>
        <w:spacing w:before="0" w:beforeAutospacing="0" w:after="0" w:afterAutospacing="0" w:line="20" w:lineRule="atLeast"/>
        <w:ind w:firstLine="500"/>
        <w:jc w:val="both"/>
      </w:pPr>
      <w:r w:rsidRPr="00E5729F">
        <w:t xml:space="preserve"> 4. Настоящее  постановление  вступает в силу с момента подписания.</w:t>
      </w:r>
    </w:p>
    <w:p w:rsidR="006C49A8" w:rsidRPr="000C73E4" w:rsidRDefault="006C49A8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Pr="000C73E4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C49A8" w:rsidRDefault="006C49A8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6C49A8" w:rsidRDefault="006C49A8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C49A8" w:rsidRDefault="006C49A8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6C49A8" w:rsidRDefault="006C49A8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9603B">
        <w:rPr>
          <w:color w:val="000000"/>
        </w:rPr>
        <w:t>11.03.2021</w:t>
      </w:r>
      <w:r>
        <w:rPr>
          <w:color w:val="000000"/>
        </w:rPr>
        <w:t xml:space="preserve"> № </w:t>
      </w:r>
      <w:r w:rsidR="0079603B">
        <w:rPr>
          <w:color w:val="000000"/>
        </w:rPr>
        <w:t>58</w:t>
      </w:r>
    </w:p>
    <w:p w:rsidR="006C49A8" w:rsidRDefault="006C49A8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6C49A8" w:rsidRDefault="006C49A8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6C49A8" w:rsidRDefault="006C49A8" w:rsidP="001F4B6C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lang w:val="ru-RU"/>
        </w:rPr>
      </w:pPr>
      <w:r>
        <w:rPr>
          <w:rFonts w:ascii="Times New Roman" w:hAnsi="Times New Roman"/>
          <w:b/>
          <w:bCs/>
          <w:i w:val="0"/>
          <w:sz w:val="24"/>
          <w:lang w:val="ru-RU"/>
        </w:rPr>
        <w:t>Порядок</w:t>
      </w:r>
    </w:p>
    <w:p w:rsidR="006C49A8" w:rsidRPr="00EE7925" w:rsidRDefault="006C49A8" w:rsidP="001F4B6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lang w:val="ru-RU"/>
        </w:rPr>
      </w:pPr>
      <w:proofErr w:type="gramStart"/>
      <w:r w:rsidRPr="00EE7925">
        <w:rPr>
          <w:rFonts w:ascii="Times New Roman" w:hAnsi="Times New Roman"/>
          <w:b/>
          <w:i w:val="0"/>
          <w:sz w:val="24"/>
          <w:lang w:val="ru-RU"/>
        </w:rPr>
        <w:t xml:space="preserve">предоставления иных межбюджетных трансфертов из бюджета муниципального образования </w:t>
      </w:r>
      <w:r>
        <w:rPr>
          <w:rFonts w:ascii="Times New Roman" w:hAnsi="Times New Roman"/>
          <w:b/>
          <w:i w:val="0"/>
          <w:sz w:val="24"/>
          <w:lang w:val="ru-RU"/>
        </w:rPr>
        <w:t>Павловское</w:t>
      </w:r>
      <w:r w:rsidRPr="00EE7925">
        <w:rPr>
          <w:rFonts w:ascii="Times New Roman" w:hAnsi="Times New Roman"/>
          <w:b/>
          <w:i w:val="0"/>
          <w:sz w:val="24"/>
          <w:lang w:val="ru-RU"/>
        </w:rPr>
        <w:t xml:space="preserve"> в бюджет муниципального образования Суздальский  район на финансовое обеспечение переданных полномочий.</w:t>
      </w:r>
      <w:proofErr w:type="gramEnd"/>
    </w:p>
    <w:p w:rsidR="006C49A8" w:rsidRPr="00E5729F" w:rsidRDefault="006C49A8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6C49A8" w:rsidRDefault="006C49A8" w:rsidP="001F4B6C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  <w:smartTag w:uri="urn:schemas-microsoft-com:office:smarttags" w:element="place">
        <w:r w:rsidRPr="00E5729F">
          <w:rPr>
            <w:rFonts w:ascii="Times New Roman" w:hAnsi="Times New Roman"/>
            <w:b/>
            <w:bCs/>
            <w:i w:val="0"/>
            <w:sz w:val="24"/>
          </w:rPr>
          <w:t>I</w:t>
        </w:r>
        <w:r w:rsidRPr="00E5729F">
          <w:rPr>
            <w:rFonts w:ascii="Times New Roman" w:hAnsi="Times New Roman"/>
            <w:b/>
            <w:bCs/>
            <w:i w:val="0"/>
            <w:sz w:val="24"/>
            <w:lang w:val="ru-RU"/>
          </w:rPr>
          <w:t>.</w:t>
        </w:r>
      </w:smartTag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 xml:space="preserve"> Основные положения</w:t>
      </w:r>
    </w:p>
    <w:p w:rsidR="006C49A8" w:rsidRDefault="006C49A8" w:rsidP="00CF619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1.1 Настоящий Порядок определяет условия предоставления иных межбюджетных трансфертов из бюджета 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бюджету муниципального образования Суздальский район, методику расчета объёма межбюджетных трансфертов, порядок перечисления, а также осуществления контроля за расходованием данных средств.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1.2. </w:t>
      </w:r>
      <w:proofErr w:type="gramStart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Иные межбюджетные трансферты предусматриваются в составе бюджета муниципального образования </w:t>
      </w:r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в целях передачи органам местного самоуправления муниципального образования Суздальский район на финансовое обеспечение переданных полномочий по решению вопросов местного значения.</w:t>
      </w:r>
      <w:proofErr w:type="gramEnd"/>
    </w:p>
    <w:p w:rsidR="006C49A8" w:rsidRDefault="006C49A8" w:rsidP="001F4B6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</w:p>
    <w:p w:rsidR="006C49A8" w:rsidRPr="001F4B6C" w:rsidRDefault="006C49A8" w:rsidP="00CF619C">
      <w:pPr>
        <w:spacing w:after="0" w:line="20" w:lineRule="atLeast"/>
        <w:ind w:firstLine="435"/>
        <w:jc w:val="center"/>
        <w:rPr>
          <w:rFonts w:ascii="Times New Roman" w:hAnsi="Times New Roman"/>
          <w:b/>
          <w:i w:val="0"/>
          <w:sz w:val="24"/>
          <w:lang w:val="ru-RU"/>
        </w:rPr>
      </w:pPr>
      <w:r w:rsidRPr="001F4B6C">
        <w:rPr>
          <w:rFonts w:ascii="Times New Roman" w:hAnsi="Times New Roman"/>
          <w:b/>
          <w:i w:val="0"/>
          <w:sz w:val="24"/>
          <w:lang w:val="ru-RU"/>
        </w:rPr>
        <w:t>2. Условия предоставления межбюджетных трансфертов</w:t>
      </w:r>
    </w:p>
    <w:p w:rsidR="006C49A8" w:rsidRPr="001F4B6C" w:rsidRDefault="006C49A8" w:rsidP="001F4B6C">
      <w:pPr>
        <w:spacing w:after="0" w:line="20" w:lineRule="atLeast"/>
        <w:ind w:firstLine="435"/>
        <w:jc w:val="both"/>
        <w:rPr>
          <w:rFonts w:ascii="Times New Roman" w:hAnsi="Times New Roman"/>
          <w:b/>
          <w:i w:val="0"/>
          <w:sz w:val="24"/>
          <w:lang w:val="ru-RU"/>
        </w:rPr>
      </w:pPr>
    </w:p>
    <w:p w:rsidR="006C49A8" w:rsidRPr="001F4B6C" w:rsidRDefault="006C49A8" w:rsidP="001F4B6C">
      <w:pPr>
        <w:spacing w:after="0" w:line="20" w:lineRule="atLeast"/>
        <w:jc w:val="both"/>
        <w:rPr>
          <w:rFonts w:ascii="Times New Roman" w:hAnsi="Times New Roman"/>
          <w:i w:val="0"/>
          <w:sz w:val="24"/>
          <w:lang w:val="ru-RU"/>
        </w:rPr>
      </w:pPr>
      <w:r w:rsidRPr="001F4B6C">
        <w:rPr>
          <w:rFonts w:ascii="Times New Roman" w:hAnsi="Times New Roman"/>
          <w:b/>
          <w:i w:val="0"/>
          <w:sz w:val="24"/>
          <w:lang w:val="ru-RU"/>
        </w:rPr>
        <w:t xml:space="preserve">       </w:t>
      </w:r>
      <w:r w:rsidRPr="001F4B6C">
        <w:rPr>
          <w:rFonts w:ascii="Times New Roman" w:hAnsi="Times New Roman"/>
          <w:i w:val="0"/>
          <w:sz w:val="24"/>
          <w:lang w:val="ru-RU"/>
        </w:rPr>
        <w:t>2.1</w:t>
      </w:r>
      <w:r w:rsidRPr="001F4B6C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Условиями предоставления иных межбюджетных трансфертов из бюджета 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бюджету муниципального образования Суздальский район являются: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- принятие соответствующего решения Совета народных депутатов муниципального образования </w:t>
      </w:r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о передаче и принятии части полномочий;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- заключение соглашения между муниципальным образованием </w:t>
      </w:r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и муниципальным образованием Суздальский район о передаче и принятии части полномочий по вопросам местного значения, содержащего следующие положения: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целевое назначение иных межбюджетных трансфертов;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сведения об объёме иных межбюджетных трансфертов;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порядок и сроки перечисления межбюджетных трансфертов;</w:t>
      </w:r>
    </w:p>
    <w:p w:rsidR="006C49A8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порядок и сроки предоставления отчетности о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</w:p>
    <w:p w:rsidR="006C49A8" w:rsidRPr="001F4B6C" w:rsidRDefault="006C49A8" w:rsidP="00CF619C">
      <w:pPr>
        <w:shd w:val="clear" w:color="auto" w:fill="FFFFFF"/>
        <w:adjustRightInd w:val="0"/>
        <w:spacing w:after="0" w:line="20" w:lineRule="atLeast"/>
        <w:ind w:firstLine="539"/>
        <w:jc w:val="center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b/>
          <w:i w:val="0"/>
          <w:sz w:val="24"/>
          <w:lang w:val="ru-RU"/>
        </w:rPr>
        <w:t xml:space="preserve">3. Порядок предоставления межбюджетных трансфертов и осуществление </w:t>
      </w:r>
      <w:proofErr w:type="gramStart"/>
      <w:r w:rsidRPr="001F4B6C">
        <w:rPr>
          <w:rFonts w:ascii="Times New Roman" w:hAnsi="Times New Roman"/>
          <w:b/>
          <w:i w:val="0"/>
          <w:sz w:val="24"/>
          <w:lang w:val="ru-RU"/>
        </w:rPr>
        <w:t>контроля  за</w:t>
      </w:r>
      <w:proofErr w:type="gramEnd"/>
      <w:r w:rsidRPr="001F4B6C">
        <w:rPr>
          <w:rFonts w:ascii="Times New Roman" w:hAnsi="Times New Roman"/>
          <w:b/>
          <w:i w:val="0"/>
          <w:sz w:val="24"/>
          <w:lang w:val="ru-RU"/>
        </w:rPr>
        <w:t xml:space="preserve">  их использованием.</w:t>
      </w:r>
    </w:p>
    <w:p w:rsidR="006C49A8" w:rsidRPr="001F4B6C" w:rsidRDefault="006C49A8" w:rsidP="001F4B6C">
      <w:pPr>
        <w:spacing w:after="0" w:line="20" w:lineRule="atLeast"/>
        <w:jc w:val="both"/>
        <w:rPr>
          <w:rFonts w:ascii="Times New Roman" w:hAnsi="Times New Roman"/>
          <w:b/>
          <w:i w:val="0"/>
          <w:sz w:val="24"/>
          <w:lang w:val="ru-RU"/>
        </w:rPr>
      </w:pPr>
    </w:p>
    <w:p w:rsidR="006C49A8" w:rsidRPr="001F4B6C" w:rsidRDefault="006C49A8" w:rsidP="001F4B6C">
      <w:pPr>
        <w:spacing w:after="0" w:line="20" w:lineRule="atLeast"/>
        <w:jc w:val="both"/>
        <w:rPr>
          <w:rFonts w:ascii="Times New Roman" w:hAnsi="Times New Roman"/>
          <w:i w:val="0"/>
          <w:sz w:val="24"/>
          <w:lang w:val="ru-RU"/>
        </w:rPr>
      </w:pPr>
      <w:r w:rsidRPr="001F4B6C">
        <w:rPr>
          <w:rFonts w:ascii="Times New Roman" w:hAnsi="Times New Roman"/>
          <w:i w:val="0"/>
          <w:sz w:val="24"/>
          <w:lang w:val="ru-RU"/>
        </w:rPr>
        <w:tab/>
        <w:t xml:space="preserve">Межбюджетные трансферты предоставляются бюджету муниципального образования Суздальский район в пределах суммы, утвержденной в бюджете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sz w:val="24"/>
          <w:lang w:val="ru-RU"/>
        </w:rPr>
        <w:t>.</w:t>
      </w:r>
    </w:p>
    <w:p w:rsidR="006C49A8" w:rsidRPr="001F4B6C" w:rsidRDefault="006C49A8" w:rsidP="001F4B6C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1F4B6C">
        <w:rPr>
          <w:rFonts w:ascii="Times New Roman" w:hAnsi="Times New Roman"/>
          <w:i w:val="0"/>
          <w:sz w:val="24"/>
          <w:lang w:val="ru-RU"/>
        </w:rPr>
        <w:t xml:space="preserve">Межбюджетные трансферты из бюджета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color w:val="000000"/>
          <w:sz w:val="24"/>
          <w:lang w:val="ru-RU"/>
        </w:rPr>
        <w:t xml:space="preserve"> </w:t>
      </w:r>
      <w:r w:rsidRPr="001F4B6C">
        <w:rPr>
          <w:rFonts w:ascii="Times New Roman" w:hAnsi="Times New Roman"/>
          <w:i w:val="0"/>
          <w:sz w:val="24"/>
          <w:lang w:val="ru-RU"/>
        </w:rPr>
        <w:t xml:space="preserve">перечисляются в бюджет муниципального образования Суздальский район путем зачисления средств на счет муниципального района, открытого в управления </w:t>
      </w:r>
      <w:r w:rsidRPr="001F4B6C">
        <w:rPr>
          <w:rFonts w:ascii="Times New Roman" w:hAnsi="Times New Roman"/>
          <w:i w:val="0"/>
          <w:sz w:val="24"/>
          <w:lang w:val="ru-RU"/>
        </w:rPr>
        <w:lastRenderedPageBreak/>
        <w:t>Федерального казначейства по Владимирской области для кассового обслуживания бюджета.</w:t>
      </w:r>
    </w:p>
    <w:p w:rsidR="006C49A8" w:rsidRPr="001F4B6C" w:rsidRDefault="006C49A8" w:rsidP="001F4B6C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1F4B6C">
        <w:rPr>
          <w:rFonts w:ascii="Times New Roman" w:hAnsi="Times New Roman"/>
          <w:i w:val="0"/>
          <w:sz w:val="24"/>
          <w:lang w:val="ru-RU"/>
        </w:rPr>
        <w:t xml:space="preserve">В целях осуществления контроля за целевым использованием межбюджетных трансфертов орган местного самоуправления  муниципального образования Суздальский район представляет в бюджетный отдел администрации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</w:t>
      </w:r>
      <w:r w:rsidRPr="001F4B6C">
        <w:rPr>
          <w:rFonts w:ascii="Times New Roman" w:hAnsi="Times New Roman"/>
          <w:i w:val="0"/>
          <w:sz w:val="24"/>
          <w:lang w:val="ru-RU"/>
        </w:rPr>
        <w:t xml:space="preserve">отчет о целевом использованием межбюджетных трансфертов согласно приложения 1 к настоящему порядку и 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>в срок до 1 февраля следующего за отчетным годом</w:t>
      </w:r>
      <w:r w:rsidRPr="001F4B6C">
        <w:rPr>
          <w:rFonts w:ascii="Times New Roman" w:hAnsi="Times New Roman"/>
          <w:i w:val="0"/>
          <w:sz w:val="24"/>
          <w:lang w:val="ru-RU"/>
        </w:rPr>
        <w:t>.</w:t>
      </w:r>
    </w:p>
    <w:p w:rsidR="006C49A8" w:rsidRPr="001F4B6C" w:rsidRDefault="006C49A8" w:rsidP="001F4B6C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1F4B6C">
        <w:rPr>
          <w:rFonts w:ascii="Times New Roman" w:hAnsi="Times New Roman"/>
          <w:i w:val="0"/>
          <w:sz w:val="24"/>
          <w:lang w:val="ru-RU"/>
        </w:rPr>
        <w:t xml:space="preserve">Иные межбюджетные трансферты, использованные не по целевому назначению, подлежат возврату в бюджет </w:t>
      </w: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</w:t>
      </w:r>
      <w:r w:rsidRPr="001F4B6C">
        <w:rPr>
          <w:rFonts w:ascii="Times New Roman" w:hAnsi="Times New Roman"/>
          <w:i w:val="0"/>
          <w:sz w:val="24"/>
          <w:lang w:val="ru-RU"/>
        </w:rPr>
        <w:t xml:space="preserve">в порядке, установленном статьей 289 Бюджетного кодекса Российской Федерации. 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lang w:val="ru-RU"/>
        </w:rPr>
        <w:t>Павловское</w:t>
      </w:r>
      <w:proofErr w:type="gramEnd"/>
      <w:r w:rsidRPr="001F4B6C">
        <w:rPr>
          <w:rFonts w:ascii="Times New Roman" w:hAnsi="Times New Roman"/>
          <w:i w:val="0"/>
          <w:color w:val="000000"/>
          <w:sz w:val="24"/>
          <w:lang w:val="ru-RU"/>
        </w:rPr>
        <w:t xml:space="preserve"> в порядке, установленном пунктом 5 статьи 242 Бюджетного кодекса Российской Федерации.</w:t>
      </w: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40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p w:rsidR="006C49A8" w:rsidRDefault="006C49A8" w:rsidP="001F4B6C">
      <w:pPr>
        <w:pStyle w:val="NoSpacing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9A8" w:rsidRPr="003E41BB" w:rsidRDefault="006C49A8" w:rsidP="001F4B6C">
      <w:pPr>
        <w:pStyle w:val="NoSpacing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1B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3E41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>к Порядку предоставления иных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>межбюджетных трансфертов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 xml:space="preserve">из бюджета </w:t>
      </w:r>
      <w:r w:rsidRPr="001F4B6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Павловское</w:t>
      </w:r>
      <w:proofErr w:type="gramEnd"/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 xml:space="preserve">бюджету  муниципального образования  </w:t>
      </w:r>
    </w:p>
    <w:p w:rsidR="006C49A8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4B6C">
        <w:rPr>
          <w:rFonts w:ascii="Times New Roman" w:hAnsi="Times New Roman"/>
          <w:sz w:val="24"/>
          <w:szCs w:val="24"/>
          <w:lang w:eastAsia="ru-RU"/>
        </w:rPr>
        <w:t>Суздальский</w:t>
      </w:r>
      <w:proofErr w:type="gramEnd"/>
      <w:r w:rsidRPr="001F4B6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6C49A8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9A8" w:rsidRPr="00CF619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F619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ОТЧЕТ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 расходовании средств иных межбюджетных трансфертов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муниципальному образованию Суздальский район за ___________ 20___ год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15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1594"/>
        <w:gridCol w:w="943"/>
        <w:gridCol w:w="1262"/>
        <w:gridCol w:w="1601"/>
        <w:gridCol w:w="1460"/>
        <w:gridCol w:w="1342"/>
        <w:gridCol w:w="2092"/>
      </w:tblGrid>
      <w:tr w:rsidR="006C49A8" w:rsidRPr="001F4B6C" w:rsidTr="001E6B78">
        <w:trPr>
          <w:cantSplit/>
          <w:trHeight w:val="153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Цель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расходного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полномочия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Код расхода КФСР, КЦСР, КВР, КОСГУ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Поступило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Утверждено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бюджетных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ассигнований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Лимиты бюджетных  </w:t>
            </w: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br/>
              <w:t>обязательств на отчетный период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Кассовое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исполнение</w:t>
            </w:r>
            <w:proofErr w:type="spellEnd"/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Неиспользованные</w:t>
            </w:r>
            <w:proofErr w:type="spellEnd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</w:tr>
      <w:tr w:rsidR="006C49A8" w:rsidRPr="001F4B6C" w:rsidTr="001E6B78">
        <w:trPr>
          <w:cantSplit/>
          <w:trHeight w:val="15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</w:t>
            </w:r>
          </w:p>
        </w:tc>
      </w:tr>
      <w:tr w:rsidR="006C49A8" w:rsidRPr="001F4B6C" w:rsidTr="001E6B78">
        <w:trPr>
          <w:cantSplit/>
          <w:trHeight w:val="430"/>
        </w:trPr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6C49A8" w:rsidRPr="001F4B6C" w:rsidTr="001E6B78">
        <w:trPr>
          <w:cantSplit/>
          <w:trHeight w:val="516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</w:tbl>
    <w:p w:rsidR="006C49A8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spellStart"/>
      <w:r w:rsidRPr="001F4B6C">
        <w:rPr>
          <w:rFonts w:ascii="Times New Roman" w:hAnsi="Times New Roman"/>
          <w:i w:val="0"/>
          <w:color w:val="000000"/>
          <w:sz w:val="24"/>
          <w:szCs w:val="24"/>
        </w:rPr>
        <w:t>Исполнитель</w:t>
      </w:r>
      <w:proofErr w:type="spellEnd"/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r w:rsidRPr="001F4B6C">
        <w:rPr>
          <w:rFonts w:ascii="Times New Roman" w:hAnsi="Times New Roman"/>
          <w:i w:val="0"/>
          <w:color w:val="000000"/>
          <w:sz w:val="24"/>
          <w:szCs w:val="24"/>
        </w:rPr>
        <w:t>______________/______________/</w:t>
      </w: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1F4B6C">
        <w:rPr>
          <w:rFonts w:ascii="Times New Roman" w:hAnsi="Times New Roman"/>
          <w:i w:val="0"/>
          <w:color w:val="000000"/>
          <w:sz w:val="24"/>
          <w:szCs w:val="24"/>
        </w:rPr>
        <w:t>Подпись</w:t>
      </w:r>
      <w:proofErr w:type="spellEnd"/>
      <w:r w:rsidRPr="001F4B6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F4B6C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1F4B6C">
        <w:rPr>
          <w:rFonts w:ascii="Times New Roman" w:hAnsi="Times New Roman"/>
          <w:i w:val="0"/>
          <w:color w:val="000000"/>
          <w:sz w:val="24"/>
          <w:szCs w:val="24"/>
        </w:rPr>
        <w:tab/>
        <w:t>ФИО</w:t>
      </w: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1F4B6C">
        <w:rPr>
          <w:rFonts w:ascii="Times New Roman" w:hAnsi="Times New Roman"/>
          <w:i w:val="0"/>
          <w:color w:val="000000"/>
          <w:sz w:val="24"/>
          <w:szCs w:val="24"/>
        </w:rPr>
        <w:t>Телефон</w:t>
      </w:r>
      <w:proofErr w:type="spellEnd"/>
    </w:p>
    <w:p w:rsidR="006C49A8" w:rsidRPr="003E41BB" w:rsidRDefault="006C49A8" w:rsidP="001F4B6C"/>
    <w:p w:rsidR="006C49A8" w:rsidRPr="003E41BB" w:rsidRDefault="006C49A8" w:rsidP="001F4B6C">
      <w:pPr>
        <w:ind w:left="5040"/>
        <w:jc w:val="both"/>
      </w:pPr>
    </w:p>
    <w:p w:rsidR="006C49A8" w:rsidRPr="003E41BB" w:rsidRDefault="006C49A8" w:rsidP="001F4B6C">
      <w:pPr>
        <w:rPr>
          <w:b/>
        </w:rPr>
      </w:pPr>
    </w:p>
    <w:p w:rsidR="006C49A8" w:rsidRPr="001F4B6C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sectPr w:rsidR="006C49A8" w:rsidRPr="001F4B6C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A8" w:rsidRDefault="006C49A8" w:rsidP="00052022">
      <w:pPr>
        <w:spacing w:after="0" w:line="240" w:lineRule="auto"/>
      </w:pPr>
      <w:r>
        <w:separator/>
      </w:r>
    </w:p>
  </w:endnote>
  <w:endnote w:type="continuationSeparator" w:id="0">
    <w:p w:rsidR="006C49A8" w:rsidRDefault="006C49A8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A8" w:rsidRDefault="006C49A8" w:rsidP="00052022">
      <w:pPr>
        <w:spacing w:after="0" w:line="240" w:lineRule="auto"/>
      </w:pPr>
      <w:r>
        <w:separator/>
      </w:r>
    </w:p>
  </w:footnote>
  <w:footnote w:type="continuationSeparator" w:id="0">
    <w:p w:rsidR="006C49A8" w:rsidRDefault="006C49A8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1606C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2048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5902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88F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6B78"/>
    <w:rsid w:val="001E7013"/>
    <w:rsid w:val="001F3E86"/>
    <w:rsid w:val="001F4B6C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A7A5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13327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1BB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4650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3F4C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49A8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9603B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038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E4B91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5121"/>
    <w:rsid w:val="0095794F"/>
    <w:rsid w:val="0096138C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65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197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41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363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619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1743F"/>
    <w:rsid w:val="00D2020F"/>
    <w:rsid w:val="00D20733"/>
    <w:rsid w:val="00D214E7"/>
    <w:rsid w:val="00D26105"/>
    <w:rsid w:val="00D3440F"/>
    <w:rsid w:val="00D353C0"/>
    <w:rsid w:val="00D379E8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5E5D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5729F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E7925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  <w:style w:type="paragraph" w:customStyle="1" w:styleId="NoSpacing1">
    <w:name w:val="No Spacing1"/>
    <w:uiPriority w:val="99"/>
    <w:rsid w:val="001F4B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587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2021-03-18T07:26:00Z</cp:lastPrinted>
  <dcterms:created xsi:type="dcterms:W3CDTF">2020-12-15T10:49:00Z</dcterms:created>
  <dcterms:modified xsi:type="dcterms:W3CDTF">2021-03-18T08:55:00Z</dcterms:modified>
</cp:coreProperties>
</file>